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5B5" w14:textId="25D4282B" w:rsidR="00EB55C5" w:rsidRPr="00480A15" w:rsidRDefault="007F2323" w:rsidP="007F2323">
      <w:pPr>
        <w:spacing w:after="0" w:line="240" w:lineRule="auto"/>
        <w:jc w:val="right"/>
        <w:rPr>
          <w:rFonts w:eastAsia="Times New Roman" w:cs="Calibri"/>
          <w:color w:val="222222"/>
          <w:sz w:val="24"/>
          <w:szCs w:val="24"/>
          <w:lang w:eastAsia="fr-FR"/>
        </w:rPr>
      </w:pPr>
      <w:r w:rsidRPr="007F2323">
        <w:rPr>
          <w:rFonts w:eastAsia="Times New Roman" w:cs="Calibri"/>
          <w:color w:val="222222"/>
          <w:sz w:val="24"/>
          <w:szCs w:val="24"/>
          <w:lang w:eastAsia="fr-FR"/>
        </w:rPr>
        <w:t>Questionnaire 3 bis</w:t>
      </w:r>
    </w:p>
    <w:p w14:paraId="3FA7D38D" w14:textId="5715D362" w:rsidR="00EB55C5" w:rsidRPr="007F2323" w:rsidRDefault="007F2323" w:rsidP="00EB55C5">
      <w:pPr>
        <w:jc w:val="center"/>
        <w:rPr>
          <w:rFonts w:eastAsia="Times New Roman" w:cs="Calibri"/>
          <w:color w:val="222222"/>
          <w:sz w:val="28"/>
          <w:szCs w:val="28"/>
          <w:lang w:eastAsia="fr-FR"/>
        </w:rPr>
      </w:pPr>
      <w:r w:rsidRPr="007F2323">
        <w:rPr>
          <w:rFonts w:eastAsia="Times New Roman" w:cs="Calibri"/>
          <w:b/>
          <w:bCs/>
          <w:color w:val="222222"/>
          <w:sz w:val="28"/>
          <w:szCs w:val="28"/>
          <w:lang w:eastAsia="fr-FR"/>
        </w:rPr>
        <w:t xml:space="preserve">la communication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On était discret ou on se racontait tout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sectPr w:rsidR="000B1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A3B3B"/>
    <w:rsid w:val="000B1F64"/>
    <w:rsid w:val="00166AC4"/>
    <w:rsid w:val="001D44B0"/>
    <w:rsid w:val="002B4577"/>
    <w:rsid w:val="002F65FC"/>
    <w:rsid w:val="00341E0D"/>
    <w:rsid w:val="003B7F21"/>
    <w:rsid w:val="00480A15"/>
    <w:rsid w:val="00490790"/>
    <w:rsid w:val="004A3A0B"/>
    <w:rsid w:val="004C2B0D"/>
    <w:rsid w:val="004C54E7"/>
    <w:rsid w:val="00515BA9"/>
    <w:rsid w:val="00551FA4"/>
    <w:rsid w:val="00556067"/>
    <w:rsid w:val="00597FEA"/>
    <w:rsid w:val="005E61FA"/>
    <w:rsid w:val="00711656"/>
    <w:rsid w:val="00771C36"/>
    <w:rsid w:val="007A7193"/>
    <w:rsid w:val="007F2323"/>
    <w:rsid w:val="0087064F"/>
    <w:rsid w:val="008D09A1"/>
    <w:rsid w:val="009235F2"/>
    <w:rsid w:val="00A5668C"/>
    <w:rsid w:val="00A7468A"/>
    <w:rsid w:val="00A91566"/>
    <w:rsid w:val="00AE7216"/>
    <w:rsid w:val="00B01043"/>
    <w:rsid w:val="00B15D1C"/>
    <w:rsid w:val="00B815B1"/>
    <w:rsid w:val="00C635E3"/>
    <w:rsid w:val="00D26135"/>
    <w:rsid w:val="00DC237C"/>
    <w:rsid w:val="00E05ECA"/>
    <w:rsid w:val="00E24EE7"/>
    <w:rsid w:val="00E75F33"/>
    <w:rsid w:val="00EB55C5"/>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2025-04-12T15:32:00Z</dcterms:created>
  <dcterms:modified xsi:type="dcterms:W3CDTF">2025-04-12T15:32:00Z</dcterms:modified>
</cp:coreProperties>
</file>